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7858C0">
        <w:rPr>
          <w:rFonts w:ascii="Calibri" w:hAnsi="Calibri" w:cs="Calibri"/>
          <w:i w:val="0"/>
          <w:color w:val="7F7F7F" w:themeColor="text1" w:themeTint="80"/>
          <w:sz w:val="26"/>
          <w:szCs w:val="26"/>
        </w:rPr>
        <w:t>28</w:t>
      </w:r>
      <w:r w:rsidR="00571DF0">
        <w:rPr>
          <w:rFonts w:ascii="Calibri" w:hAnsi="Calibri" w:cs="Calibri"/>
          <w:i w:val="0"/>
          <w:color w:val="7F7F7F" w:themeColor="text1" w:themeTint="80"/>
          <w:sz w:val="26"/>
          <w:szCs w:val="26"/>
        </w:rPr>
        <w:t xml:space="preserve"> </w:t>
      </w:r>
      <w:r w:rsidR="007858C0">
        <w:rPr>
          <w:rFonts w:ascii="Calibri" w:hAnsi="Calibri" w:cs="Calibri"/>
          <w:i w:val="0"/>
          <w:color w:val="7F7F7F" w:themeColor="text1" w:themeTint="80"/>
          <w:sz w:val="26"/>
          <w:szCs w:val="26"/>
        </w:rPr>
        <w:t>v</w:t>
      </w:r>
      <w:r w:rsidR="00571DF0">
        <w:rPr>
          <w:rFonts w:ascii="Calibri" w:hAnsi="Calibri" w:cs="Calibri"/>
          <w:i w:val="0"/>
          <w:color w:val="7F7F7F" w:themeColor="text1" w:themeTint="80"/>
          <w:sz w:val="26"/>
          <w:szCs w:val="26"/>
        </w:rPr>
        <w:t>ein</w:t>
      </w:r>
      <w:r w:rsidR="007858C0">
        <w:rPr>
          <w:rFonts w:ascii="Calibri" w:hAnsi="Calibri" w:cs="Calibri"/>
          <w:i w:val="0"/>
          <w:color w:val="7F7F7F" w:themeColor="text1" w:themeTint="80"/>
          <w:sz w:val="26"/>
          <w:szCs w:val="26"/>
        </w:rPr>
        <w:t>tiocho</w:t>
      </w:r>
      <w:r w:rsidR="009F166A">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r w:rsidR="004D0B1E">
        <w:rPr>
          <w:rFonts w:ascii="Calibri" w:hAnsi="Calibri" w:cs="Calibri"/>
          <w:i w:val="0"/>
          <w:color w:val="7F7F7F" w:themeColor="text1" w:themeTint="80"/>
          <w:sz w:val="26"/>
          <w:szCs w:val="26"/>
        </w:rPr>
        <w:t xml:space="preserve">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Default="004F6C7F" w:rsidP="0062483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CC6F42">
        <w:rPr>
          <w:rFonts w:ascii="Calibri" w:hAnsi="Calibri" w:cs="Calibri"/>
          <w:b/>
          <w:color w:val="7F7F7F" w:themeColor="text1" w:themeTint="80"/>
          <w:sz w:val="26"/>
          <w:szCs w:val="26"/>
        </w:rPr>
        <w:t>0136/2do JAM/2017-JN</w:t>
      </w:r>
      <w:r w:rsidRPr="00951F38">
        <w:rPr>
          <w:rFonts w:ascii="Calibri" w:hAnsi="Calibri" w:cs="Calibri"/>
          <w:color w:val="7F7F7F" w:themeColor="text1" w:themeTint="80"/>
          <w:sz w:val="26"/>
          <w:szCs w:val="26"/>
        </w:rPr>
        <w:t xml:space="preserve">, promovido por el ciudadano </w:t>
      </w:r>
      <w:r w:rsidR="006B7D02">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6B7D02">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0062483F">
        <w:rPr>
          <w:rFonts w:ascii="Calibri" w:hAnsi="Calibri" w:cs="Calibri"/>
          <w:color w:val="7F7F7F" w:themeColor="text1" w:themeTint="80"/>
          <w:sz w:val="26"/>
          <w:szCs w:val="26"/>
        </w:rPr>
        <w:t xml:space="preserve"> y</w:t>
      </w:r>
      <w:proofErr w:type="gramStart"/>
      <w:r w:rsidR="0062483F">
        <w:rPr>
          <w:rFonts w:ascii="Calibri" w:hAnsi="Calibri" w:cs="Calibri"/>
          <w:color w:val="7F7F7F" w:themeColor="text1" w:themeTint="80"/>
          <w:sz w:val="26"/>
          <w:szCs w:val="26"/>
        </w:rPr>
        <w:t>, .</w:t>
      </w:r>
      <w:proofErr w:type="gramEnd"/>
      <w:r w:rsidR="0062483F">
        <w:rPr>
          <w:rFonts w:ascii="Calibri" w:hAnsi="Calibri" w:cs="Calibri"/>
          <w:color w:val="7F7F7F" w:themeColor="text1" w:themeTint="80"/>
          <w:sz w:val="26"/>
          <w:szCs w:val="26"/>
        </w:rPr>
        <w:t xml:space="preserve"> . . . . . . . . . . .</w:t>
      </w:r>
    </w:p>
    <w:p w:rsidR="0062483F" w:rsidRPr="00951F38" w:rsidRDefault="0062483F" w:rsidP="00BE1144">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Arial"/>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CC6F42">
        <w:rPr>
          <w:rFonts w:ascii="Calibri" w:hAnsi="Calibri" w:cs="Calibri"/>
          <w:color w:val="7F7F7F" w:themeColor="text1" w:themeTint="80"/>
          <w:sz w:val="26"/>
          <w:szCs w:val="26"/>
        </w:rPr>
        <w:t>24 veinticuatro de diciembre</w:t>
      </w:r>
      <w:r w:rsidR="007463E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FA61BE">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9B54C5" w:rsidRDefault="004F6C7F" w:rsidP="009B54C5">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A565D0" w:rsidRPr="00951F38">
        <w:rPr>
          <w:rFonts w:ascii="Calibri" w:hAnsi="Calibri" w:cs="Calibri"/>
          <w:color w:val="7F7F7F" w:themeColor="text1" w:themeTint="80"/>
          <w:sz w:val="26"/>
          <w:szCs w:val="26"/>
        </w:rPr>
        <w:t xml:space="preserve"> </w:t>
      </w:r>
      <w:r w:rsidR="00CC6F42">
        <w:rPr>
          <w:rFonts w:ascii="Calibri" w:hAnsi="Calibri" w:cs="Calibri"/>
          <w:color w:val="7F7F7F" w:themeColor="text1" w:themeTint="80"/>
          <w:sz w:val="26"/>
          <w:szCs w:val="26"/>
        </w:rPr>
        <w:t>359480 (tres-cinco-nueve-cuatro-ocho-cero)</w:t>
      </w:r>
      <w:r w:rsidR="004469D1" w:rsidRPr="00951F38">
        <w:rPr>
          <w:rFonts w:ascii="Calibri" w:hAnsi="Calibri" w:cs="Calibri"/>
          <w:color w:val="7F7F7F" w:themeColor="text1" w:themeTint="80"/>
          <w:sz w:val="26"/>
          <w:szCs w:val="26"/>
        </w:rPr>
        <w:t xml:space="preserve">, de fecha </w:t>
      </w:r>
      <w:r w:rsidR="00CC6F42">
        <w:rPr>
          <w:rFonts w:ascii="Calibri" w:hAnsi="Calibri" w:cs="Calibri"/>
          <w:color w:val="7F7F7F" w:themeColor="text1" w:themeTint="80"/>
          <w:sz w:val="26"/>
          <w:szCs w:val="26"/>
        </w:rPr>
        <w:t>24 veinticuatro de diciembre</w:t>
      </w:r>
      <w:r w:rsidR="004469D1">
        <w:rPr>
          <w:rFonts w:ascii="Calibri" w:hAnsi="Calibri" w:cs="Calibri"/>
          <w:color w:val="7F7F7F" w:themeColor="text1" w:themeTint="80"/>
          <w:sz w:val="26"/>
          <w:szCs w:val="26"/>
        </w:rPr>
        <w:t xml:space="preserve"> </w:t>
      </w:r>
      <w:r w:rsidR="004469D1" w:rsidRPr="00951F38">
        <w:rPr>
          <w:rFonts w:ascii="Calibri" w:hAnsi="Calibri" w:cs="Calibri"/>
          <w:color w:val="7F7F7F" w:themeColor="text1" w:themeTint="80"/>
          <w:sz w:val="26"/>
          <w:szCs w:val="26"/>
        </w:rPr>
        <w:t xml:space="preserve">del año </w:t>
      </w:r>
      <w:r w:rsidR="004469D1">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C4050F">
        <w:rPr>
          <w:rFonts w:ascii="Calibri" w:hAnsi="Calibri" w:cs="Calibri"/>
          <w:color w:val="7F7F7F" w:themeColor="text1" w:themeTint="80"/>
          <w:sz w:val="26"/>
          <w:szCs w:val="26"/>
        </w:rPr>
        <w:t>9 nueve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xml:space="preserve">, aunada la </w:t>
      </w:r>
      <w:r w:rsidR="00FF4A3E" w:rsidRPr="0015104B">
        <w:rPr>
          <w:rFonts w:ascii="Calibri" w:hAnsi="Calibri" w:cs="Calibri"/>
          <w:b/>
          <w:color w:val="7F7F7F" w:themeColor="text1" w:themeTint="80"/>
          <w:sz w:val="26"/>
          <w:szCs w:val="26"/>
        </w:rPr>
        <w:t>confesión expresa</w:t>
      </w:r>
      <w:r w:rsidR="00FF4A3E">
        <w:rPr>
          <w:rFonts w:ascii="Calibri" w:hAnsi="Calibri" w:cs="Calibri"/>
          <w:color w:val="7F7F7F" w:themeColor="text1" w:themeTint="80"/>
          <w:sz w:val="26"/>
          <w:szCs w:val="26"/>
        </w:rPr>
        <w:t xml:space="preserve"> que hace el enjuiciado, al </w:t>
      </w:r>
    </w:p>
    <w:p w:rsidR="009B54C5" w:rsidRDefault="009B54C5" w:rsidP="009B54C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0136/2do JAM/2017-JN</w:t>
      </w:r>
    </w:p>
    <w:p w:rsidR="009B54C5" w:rsidRDefault="009B54C5" w:rsidP="009B54C5">
      <w:pPr>
        <w:ind w:firstLine="708"/>
        <w:jc w:val="both"/>
        <w:rPr>
          <w:rFonts w:ascii="Calibri" w:hAnsi="Calibri" w:cs="Calibri"/>
          <w:color w:val="7F7F7F" w:themeColor="text1" w:themeTint="80"/>
          <w:sz w:val="26"/>
          <w:szCs w:val="26"/>
        </w:rPr>
      </w:pPr>
    </w:p>
    <w:p w:rsidR="004F6C7F" w:rsidRPr="00951F38" w:rsidRDefault="00FF4A3E" w:rsidP="009B54C5">
      <w:pPr>
        <w:ind w:firstLine="708"/>
        <w:jc w:val="both"/>
        <w:rPr>
          <w:rFonts w:ascii="Calibri" w:hAnsi="Calibri" w:cs="Calibri"/>
          <w:color w:val="7F7F7F" w:themeColor="text1" w:themeTint="80"/>
          <w:sz w:val="26"/>
          <w:szCs w:val="26"/>
        </w:rPr>
      </w:pPr>
      <w:proofErr w:type="gramStart"/>
      <w:r>
        <w:rPr>
          <w:rFonts w:ascii="Calibri" w:hAnsi="Calibri" w:cs="Calibri"/>
          <w:color w:val="7F7F7F" w:themeColor="text1" w:themeTint="80"/>
          <w:sz w:val="26"/>
          <w:szCs w:val="26"/>
        </w:rPr>
        <w:t>contestar</w:t>
      </w:r>
      <w:proofErr w:type="gramEnd"/>
      <w:r>
        <w:rPr>
          <w:rFonts w:ascii="Calibri" w:hAnsi="Calibri" w:cs="Calibri"/>
          <w:color w:val="7F7F7F" w:themeColor="text1" w:themeTint="80"/>
          <w:sz w:val="26"/>
          <w:szCs w:val="26"/>
        </w:rPr>
        <w:t xml:space="preserve"> la demanda, en el sentido de que si levantó el Acta de Infracción combatida</w:t>
      </w:r>
      <w:r w:rsidR="004F6C7F" w:rsidRPr="00951F38">
        <w:rPr>
          <w:rFonts w:ascii="Calibri" w:hAnsi="Calibri"/>
          <w:color w:val="7F7F7F" w:themeColor="text1" w:themeTint="80"/>
          <w:sz w:val="26"/>
          <w:szCs w:val="26"/>
        </w:rPr>
        <w:t>. . . . . . . . . . . . . . .</w:t>
      </w:r>
      <w:r>
        <w:rPr>
          <w:rFonts w:ascii="Calibri" w:hAnsi="Calibri"/>
          <w:color w:val="7F7F7F" w:themeColor="text1" w:themeTint="80"/>
          <w:sz w:val="26"/>
          <w:szCs w:val="26"/>
        </w:rPr>
        <w:t xml:space="preserve"> . . . . . . .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58450C" w:rsidRPr="00951F38" w:rsidRDefault="004F6C7F" w:rsidP="00AF503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6B7D0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sidR="00AF5036">
        <w:rPr>
          <w:rFonts w:ascii="Calibri" w:hAnsi="Calibri" w:cs="Calibri"/>
          <w:color w:val="7F7F7F" w:themeColor="text1" w:themeTint="80"/>
          <w:sz w:val="26"/>
          <w:szCs w:val="26"/>
        </w:rPr>
        <w:t xml:space="preserve"> . . . . . . </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lastRenderedPageBreak/>
        <w:t xml:space="preserve">La ciudadana </w:t>
      </w:r>
      <w:r w:rsidR="006B7D0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006B7D02">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w:t>
      </w:r>
      <w:r w:rsidR="006B7D0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6B7D0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6B7D0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Licenciado </w:t>
      </w:r>
      <w:r w:rsidR="006B7D0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2A0D5A">
        <w:rPr>
          <w:rFonts w:ascii="Calibri" w:hAnsi="Calibri" w:cs="Calibri"/>
          <w:color w:val="7F7F7F" w:themeColor="text1" w:themeTint="80"/>
          <w:sz w:val="26"/>
          <w:szCs w:val="26"/>
        </w:rPr>
        <w:t xml:space="preserve">de la </w:t>
      </w:r>
      <w:r w:rsidR="009E5BD5">
        <w:rPr>
          <w:rFonts w:ascii="Calibri" w:hAnsi="Calibri" w:cs="Calibri"/>
          <w:color w:val="7F7F7F" w:themeColor="text1" w:themeTint="80"/>
          <w:sz w:val="26"/>
          <w:szCs w:val="26"/>
        </w:rPr>
        <w:t xml:space="preserve">4 cuatro a la </w:t>
      </w:r>
      <w:r w:rsidR="002A0D5A">
        <w:rPr>
          <w:rFonts w:ascii="Calibri" w:hAnsi="Calibri" w:cs="Calibri"/>
          <w:color w:val="7F7F7F" w:themeColor="text1" w:themeTint="80"/>
          <w:sz w:val="26"/>
          <w:szCs w:val="26"/>
        </w:rPr>
        <w:t>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6B7D0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006B7D02">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9E5BD5">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9E5BD5">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970278" w:rsidRDefault="007D58F4" w:rsidP="00C4050F">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970278">
        <w:rPr>
          <w:rFonts w:ascii="Calibri" w:hAnsi="Calibri" w:cs="Calibri"/>
          <w:bCs/>
          <w:iCs/>
          <w:color w:val="7F7F7F" w:themeColor="text1" w:themeTint="80"/>
          <w:sz w:val="26"/>
          <w:szCs w:val="26"/>
        </w:rPr>
        <w:t xml:space="preserve"> . . </w:t>
      </w:r>
    </w:p>
    <w:p w:rsidR="00970278" w:rsidRDefault="00970278" w:rsidP="00C4050F">
      <w:pPr>
        <w:pStyle w:val="Sangradetextonormal"/>
        <w:ind w:left="0" w:firstLine="708"/>
        <w:jc w:val="both"/>
        <w:rPr>
          <w:rFonts w:ascii="Calibri" w:hAnsi="Calibri" w:cs="Calibri"/>
          <w:bCs/>
          <w:iCs/>
          <w:color w:val="7F7F7F" w:themeColor="text1" w:themeTint="80"/>
          <w:sz w:val="26"/>
          <w:szCs w:val="26"/>
        </w:rPr>
      </w:pPr>
    </w:p>
    <w:p w:rsidR="0015104B" w:rsidRDefault="007D58F4" w:rsidP="00C4050F">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0015104B" w:rsidRPr="0040652F">
        <w:rPr>
          <w:rFonts w:ascii="Calibri" w:hAnsi="Calibri" w:cs="Calibri"/>
          <w:bCs/>
          <w:iCs/>
          <w:color w:val="767171" w:themeColor="background2" w:themeShade="80"/>
          <w:sz w:val="26"/>
          <w:szCs w:val="26"/>
        </w:rPr>
        <w:t xml:space="preserve">al haberse </w:t>
      </w:r>
      <w:r w:rsidR="0015104B">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0015104B" w:rsidRPr="0040652F">
        <w:rPr>
          <w:rFonts w:ascii="Calibri" w:hAnsi="Calibri" w:cs="Calibri"/>
          <w:bCs/>
          <w:iCs/>
          <w:color w:val="767171" w:themeColor="background2" w:themeShade="80"/>
          <w:sz w:val="26"/>
          <w:szCs w:val="26"/>
        </w:rPr>
        <w:t>resultando, en consecuencia, afectada, por tal motivo, en su patrimonio</w:t>
      </w:r>
      <w:r w:rsidR="0015104B">
        <w:rPr>
          <w:rFonts w:ascii="Calibri" w:hAnsi="Calibri" w:cs="Calibri"/>
          <w:bCs/>
          <w:iCs/>
          <w:color w:val="767171" w:themeColor="background2" w:themeShade="80"/>
          <w:sz w:val="26"/>
          <w:szCs w:val="26"/>
        </w:rPr>
        <w:t xml:space="preserve">, </w:t>
      </w:r>
      <w:r w:rsidR="0015104B">
        <w:rPr>
          <w:rFonts w:ascii="Calibri" w:hAnsi="Calibri" w:cs="Calibri"/>
          <w:bCs/>
          <w:iCs/>
          <w:color w:val="767171" w:themeColor="background2" w:themeShade="80"/>
          <w:sz w:val="26"/>
          <w:szCs w:val="26"/>
        </w:rPr>
        <w:lastRenderedPageBreak/>
        <w:t>pues es evidente que para circular es menester portar ambas placas de circulación</w:t>
      </w:r>
      <w:r w:rsidR="0015104B" w:rsidRPr="0040652F">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0015104B" w:rsidRPr="00970278">
        <w:rPr>
          <w:rFonts w:ascii="Calibri" w:hAnsi="Calibri" w:cs="Calibri"/>
          <w:bCs/>
          <w:i/>
          <w:iCs/>
          <w:color w:val="767171" w:themeColor="background2" w:themeShade="80"/>
          <w:sz w:val="26"/>
          <w:szCs w:val="26"/>
        </w:rPr>
        <w:t>“</w:t>
      </w:r>
      <w:proofErr w:type="spellStart"/>
      <w:r w:rsidR="0015104B" w:rsidRPr="00970278">
        <w:rPr>
          <w:rFonts w:ascii="Calibri" w:hAnsi="Calibri" w:cs="Calibri"/>
          <w:bCs/>
          <w:i/>
          <w:iCs/>
          <w:color w:val="767171" w:themeColor="background2" w:themeShade="80"/>
          <w:sz w:val="26"/>
          <w:szCs w:val="26"/>
        </w:rPr>
        <w:t>litis</w:t>
      </w:r>
      <w:proofErr w:type="spellEnd"/>
      <w:r w:rsidR="0015104B" w:rsidRPr="00970278">
        <w:rPr>
          <w:rFonts w:ascii="Calibri" w:hAnsi="Calibri" w:cs="Calibri"/>
          <w:bCs/>
          <w:i/>
          <w:iCs/>
          <w:color w:val="767171" w:themeColor="background2" w:themeShade="80"/>
          <w:sz w:val="26"/>
          <w:szCs w:val="26"/>
        </w:rPr>
        <w:t>”</w:t>
      </w:r>
      <w:r w:rsidR="0015104B">
        <w:rPr>
          <w:rFonts w:ascii="Calibri" w:hAnsi="Calibri" w:cs="Calibri"/>
          <w:bCs/>
          <w:iCs/>
          <w:color w:val="767171" w:themeColor="background2" w:themeShade="80"/>
          <w:sz w:val="26"/>
          <w:szCs w:val="26"/>
        </w:rPr>
        <w:t xml:space="preserve">. </w:t>
      </w:r>
      <w:r w:rsidR="00970278">
        <w:rPr>
          <w:rFonts w:ascii="Calibri" w:hAnsi="Calibri" w:cs="Calibri"/>
          <w:bCs/>
          <w:iCs/>
          <w:color w:val="767171" w:themeColor="background2" w:themeShade="80"/>
          <w:sz w:val="26"/>
          <w:szCs w:val="26"/>
        </w:rPr>
        <w:t xml:space="preserve">. . . . . . . . . . . . . . . . . . . . . . . </w:t>
      </w:r>
    </w:p>
    <w:p w:rsidR="00C4050F" w:rsidRDefault="00C4050F" w:rsidP="00C4050F">
      <w:pPr>
        <w:pStyle w:val="Sangradetextonormal"/>
        <w:ind w:left="0" w:firstLine="708"/>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970278" w:rsidRDefault="004F6C7F" w:rsidP="0097027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sidR="008E65C4">
        <w:rPr>
          <w:rFonts w:ascii="Calibri" w:hAnsi="Calibri" w:cs="Calibri"/>
          <w:color w:val="7F7F7F" w:themeColor="text1" w:themeTint="80"/>
          <w:sz w:val="26"/>
          <w:szCs w:val="26"/>
        </w:rPr>
        <w:t>spector de Movilidad, c</w:t>
      </w:r>
      <w:r w:rsidR="004469D1">
        <w:rPr>
          <w:rFonts w:ascii="Calibri" w:hAnsi="Calibri" w:cs="Calibri"/>
          <w:color w:val="7F7F7F" w:themeColor="text1" w:themeTint="80"/>
          <w:sz w:val="26"/>
          <w:szCs w:val="26"/>
        </w:rPr>
        <w:t xml:space="preserve">iudadano </w:t>
      </w:r>
      <w:r w:rsidR="006B7D0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C4050F">
        <w:rPr>
          <w:rFonts w:ascii="Calibri" w:hAnsi="Calibri" w:cs="Calibri"/>
          <w:color w:val="7F7F7F" w:themeColor="text1" w:themeTint="80"/>
          <w:sz w:val="26"/>
          <w:szCs w:val="26"/>
        </w:rPr>
        <w:t xml:space="preserve">24 veinticuatro </w:t>
      </w:r>
      <w:r w:rsidR="008E65C4">
        <w:rPr>
          <w:rFonts w:ascii="Calibri" w:hAnsi="Calibri" w:cs="Calibri"/>
          <w:color w:val="7F7F7F" w:themeColor="text1" w:themeTint="80"/>
          <w:sz w:val="26"/>
          <w:szCs w:val="26"/>
        </w:rPr>
        <w:t>de dic</w:t>
      </w:r>
      <w:r w:rsidR="007565B7">
        <w:rPr>
          <w:rFonts w:ascii="Calibri" w:hAnsi="Calibri" w:cs="Calibri"/>
          <w:color w:val="7F7F7F" w:themeColor="text1" w:themeTint="80"/>
          <w:sz w:val="26"/>
          <w:szCs w:val="26"/>
        </w:rPr>
        <w:t>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DD04BF">
        <w:rPr>
          <w:rFonts w:ascii="Calibri" w:hAnsi="Calibri" w:cs="Calibri"/>
          <w:i/>
          <w:iCs/>
          <w:color w:val="7F7F7F" w:themeColor="text1" w:themeTint="80"/>
          <w:sz w:val="26"/>
          <w:szCs w:val="26"/>
        </w:rPr>
        <w:t xml:space="preserve"> </w:t>
      </w:r>
      <w:r w:rsidR="00970278">
        <w:rPr>
          <w:rFonts w:ascii="Calibri" w:hAnsi="Calibri" w:cs="Calibri"/>
          <w:i/>
          <w:iCs/>
          <w:color w:val="7F7F7F" w:themeColor="text1" w:themeTint="80"/>
          <w:sz w:val="26"/>
          <w:szCs w:val="26"/>
        </w:rPr>
        <w:t xml:space="preserve">de transferencia </w:t>
      </w:r>
      <w:r w:rsidR="00DD04BF">
        <w:rPr>
          <w:rFonts w:ascii="Calibri" w:hAnsi="Calibri" w:cs="Calibri"/>
          <w:i/>
          <w:iCs/>
          <w:color w:val="7F7F7F" w:themeColor="text1" w:themeTint="80"/>
          <w:sz w:val="26"/>
          <w:szCs w:val="26"/>
        </w:rPr>
        <w:t>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A565D0" w:rsidRPr="00951F38">
        <w:rPr>
          <w:rFonts w:ascii="Calibri" w:hAnsi="Calibri" w:cs="Calibri"/>
          <w:color w:val="7F7F7F" w:themeColor="text1" w:themeTint="80"/>
          <w:sz w:val="26"/>
          <w:szCs w:val="26"/>
        </w:rPr>
        <w:t xml:space="preserve"> </w:t>
      </w:r>
      <w:r w:rsidR="00CC6F42">
        <w:rPr>
          <w:rFonts w:ascii="Calibri" w:hAnsi="Calibri" w:cs="Calibri"/>
          <w:color w:val="7F7F7F" w:themeColor="text1" w:themeTint="80"/>
          <w:sz w:val="26"/>
          <w:szCs w:val="26"/>
        </w:rPr>
        <w:t>359480 (tres-cinco-nueve-cuatro-ocho-cero)</w:t>
      </w:r>
      <w:r w:rsidR="00A565D0" w:rsidRPr="00951F38">
        <w:rPr>
          <w:rFonts w:ascii="Calibri" w:hAnsi="Calibri" w:cs="Calibri"/>
          <w:color w:val="7F7F7F" w:themeColor="text1" w:themeTint="80"/>
          <w:sz w:val="26"/>
          <w:szCs w:val="26"/>
        </w:rPr>
        <w:t>,</w:t>
      </w:r>
      <w:r w:rsidR="008E65C4">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841FFF">
        <w:rPr>
          <w:rFonts w:ascii="Calibri" w:hAnsi="Calibri" w:cs="Calibri"/>
          <w:i/>
          <w:color w:val="7F7F7F" w:themeColor="text1" w:themeTint="80"/>
          <w:sz w:val="26"/>
          <w:szCs w:val="26"/>
        </w:rPr>
        <w:t xml:space="preserve">no </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 </w:t>
      </w:r>
      <w:r w:rsidR="00426029">
        <w:rPr>
          <w:rFonts w:ascii="Calibri" w:hAnsi="Calibri" w:cs="Calibri"/>
          <w:i/>
          <w:color w:val="7F7F7F" w:themeColor="text1" w:themeTint="80"/>
          <w:sz w:val="26"/>
          <w:szCs w:val="26"/>
        </w:rPr>
        <w:t>los</w:t>
      </w:r>
      <w:r w:rsidR="00841FFF">
        <w:rPr>
          <w:rFonts w:ascii="Calibri" w:hAnsi="Calibri" w:cs="Calibri"/>
          <w:i/>
          <w:color w:val="7F7F7F" w:themeColor="text1" w:themeTint="80"/>
          <w:sz w:val="26"/>
          <w:szCs w:val="26"/>
        </w:rPr>
        <w:t xml:space="preserve"> </w:t>
      </w:r>
      <w:r w:rsidR="007F73CB" w:rsidRPr="00951F38">
        <w:rPr>
          <w:rFonts w:ascii="Calibri" w:hAnsi="Calibri" w:cs="Calibri"/>
          <w:i/>
          <w:color w:val="7F7F7F" w:themeColor="text1" w:themeTint="80"/>
          <w:sz w:val="26"/>
          <w:szCs w:val="26"/>
        </w:rPr>
        <w:t>horarios</w:t>
      </w:r>
      <w:r w:rsidR="00A1389D">
        <w:rPr>
          <w:rFonts w:ascii="Calibri" w:hAnsi="Calibri" w:cs="Calibri"/>
          <w:i/>
          <w:color w:val="7F7F7F" w:themeColor="text1" w:themeTint="80"/>
          <w:sz w:val="26"/>
          <w:szCs w:val="26"/>
        </w:rPr>
        <w:t>,</w:t>
      </w:r>
      <w:r w:rsidR="00A1389D" w:rsidRPr="00A1389D">
        <w:rPr>
          <w:rFonts w:ascii="Calibri" w:hAnsi="Calibri" w:cs="Calibri"/>
          <w:i/>
          <w:color w:val="7F7F7F" w:themeColor="text1" w:themeTint="80"/>
          <w:sz w:val="26"/>
          <w:szCs w:val="26"/>
        </w:rPr>
        <w:t xml:space="preserve"> </w:t>
      </w:r>
      <w:r w:rsidR="00A1389D">
        <w:rPr>
          <w:rFonts w:ascii="Calibri" w:hAnsi="Calibri" w:cs="Calibri"/>
          <w:i/>
          <w:color w:val="7F7F7F" w:themeColor="text1" w:themeTint="80"/>
          <w:sz w:val="26"/>
          <w:szCs w:val="26"/>
        </w:rPr>
        <w:t>rutas</w:t>
      </w:r>
      <w:r w:rsidR="007F73CB">
        <w:rPr>
          <w:rFonts w:ascii="Calibri" w:hAnsi="Calibri" w:cs="Calibri"/>
          <w:i/>
          <w:color w:val="7F7F7F" w:themeColor="text1" w:themeTint="80"/>
          <w:sz w:val="26"/>
          <w:szCs w:val="26"/>
        </w:rPr>
        <w:t xml:space="preserve">,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A1389D">
        <w:rPr>
          <w:rFonts w:ascii="Calibri" w:hAnsi="Calibri" w:cs="Calibri"/>
          <w:i/>
          <w:color w:val="7F7F7F" w:themeColor="text1" w:themeTint="80"/>
          <w:sz w:val="26"/>
          <w:szCs w:val="26"/>
        </w:rPr>
        <w:t>en la prestación del servicio (</w:t>
      </w:r>
      <w:r w:rsidR="005D5BA5">
        <w:rPr>
          <w:rFonts w:ascii="Calibri" w:hAnsi="Calibri" w:cs="Calibri"/>
          <w:i/>
          <w:color w:val="7F7F7F" w:themeColor="text1" w:themeTint="80"/>
          <w:sz w:val="26"/>
          <w:szCs w:val="26"/>
        </w:rPr>
        <w:t xml:space="preserve">No llegó el camión del último despacho programado al cierre del servicio de la </w:t>
      </w:r>
      <w:r w:rsidR="00A1389D">
        <w:rPr>
          <w:rFonts w:ascii="Calibri" w:hAnsi="Calibri" w:cs="Calibri"/>
          <w:i/>
          <w:color w:val="7F7F7F" w:themeColor="text1" w:themeTint="80"/>
          <w:sz w:val="26"/>
          <w:szCs w:val="26"/>
        </w:rPr>
        <w:t>Estación Timoteo Lozano</w:t>
      </w:r>
      <w:r w:rsidR="005D5BA5">
        <w:rPr>
          <w:rFonts w:ascii="Calibri" w:hAnsi="Calibri" w:cs="Calibri"/>
          <w:i/>
          <w:color w:val="7F7F7F" w:themeColor="text1" w:themeTint="80"/>
          <w:sz w:val="26"/>
          <w:szCs w:val="26"/>
        </w:rPr>
        <w:t xml:space="preserve">  hacia el centro programada la salida a las 23:00 </w:t>
      </w:r>
      <w:proofErr w:type="spellStart"/>
      <w:r w:rsidR="005D5BA5">
        <w:rPr>
          <w:rFonts w:ascii="Calibri" w:hAnsi="Calibri" w:cs="Calibri"/>
          <w:i/>
          <w:color w:val="7F7F7F" w:themeColor="text1" w:themeTint="80"/>
          <w:sz w:val="26"/>
          <w:szCs w:val="26"/>
        </w:rPr>
        <w:t>hrs</w:t>
      </w:r>
      <w:proofErr w:type="spellEnd"/>
      <w:r w:rsidR="005D5BA5">
        <w:rPr>
          <w:rFonts w:ascii="Calibri" w:hAnsi="Calibri" w:cs="Calibri"/>
          <w:i/>
          <w:color w:val="7F7F7F" w:themeColor="text1" w:themeTint="80"/>
          <w:sz w:val="26"/>
          <w:szCs w:val="26"/>
        </w:rPr>
        <w:t xml:space="preserve"> dejando usuarios sin </w:t>
      </w:r>
      <w:r w:rsidR="00A1389D">
        <w:rPr>
          <w:rFonts w:ascii="Calibri" w:hAnsi="Calibri" w:cs="Calibri"/>
          <w:i/>
          <w:color w:val="7F7F7F" w:themeColor="text1" w:themeTint="80"/>
          <w:sz w:val="26"/>
          <w:szCs w:val="26"/>
        </w:rPr>
        <w:t xml:space="preserve">servicio </w:t>
      </w:r>
      <w:r w:rsidR="005D5BA5">
        <w:rPr>
          <w:rFonts w:ascii="Calibri" w:hAnsi="Calibri" w:cs="Calibri"/>
          <w:i/>
          <w:color w:val="7F7F7F" w:themeColor="text1" w:themeTint="80"/>
          <w:sz w:val="26"/>
          <w:szCs w:val="26"/>
        </w:rPr>
        <w:t>en la estación</w:t>
      </w:r>
      <w:r w:rsidR="00970278">
        <w:rPr>
          <w:rFonts w:ascii="Calibri" w:hAnsi="Calibri" w:cs="Calibri"/>
          <w:i/>
          <w:color w:val="7F7F7F" w:themeColor="text1" w:themeTint="80"/>
          <w:sz w:val="26"/>
          <w:szCs w:val="26"/>
        </w:rPr>
        <w:t xml:space="preserve">)”. </w:t>
      </w:r>
      <w:r w:rsidR="00970278" w:rsidRPr="00970278">
        <w:rPr>
          <w:rFonts w:ascii="Calibri" w:hAnsi="Calibri" w:cs="Calibri"/>
          <w:color w:val="7F7F7F" w:themeColor="text1" w:themeTint="80"/>
          <w:sz w:val="26"/>
          <w:szCs w:val="26"/>
        </w:rPr>
        <w:t>E</w:t>
      </w:r>
      <w:r w:rsidRPr="00951F38">
        <w:rPr>
          <w:rFonts w:ascii="Calibri" w:hAnsi="Calibri" w:cs="Calibri"/>
          <w:color w:val="7F7F7F" w:themeColor="text1" w:themeTint="80"/>
          <w:sz w:val="26"/>
          <w:szCs w:val="26"/>
        </w:rPr>
        <w:t xml:space="preserve">specificando en el recuadro destinado a los datos del infractor: </w:t>
      </w:r>
    </w:p>
    <w:p w:rsidR="00970278" w:rsidRDefault="00970278" w:rsidP="0097027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0136/2do JAM/2017-JN</w:t>
      </w:r>
    </w:p>
    <w:p w:rsidR="00970278" w:rsidRDefault="00970278" w:rsidP="00970278">
      <w:pPr>
        <w:ind w:firstLine="708"/>
        <w:jc w:val="both"/>
        <w:rPr>
          <w:rFonts w:ascii="Calibri" w:hAnsi="Calibri" w:cs="Calibri"/>
          <w:color w:val="7F7F7F" w:themeColor="text1" w:themeTint="80"/>
          <w:sz w:val="26"/>
          <w:szCs w:val="26"/>
        </w:rPr>
      </w:pPr>
    </w:p>
    <w:p w:rsidR="007A3408" w:rsidRPr="008E4981" w:rsidRDefault="004F6C7F" w:rsidP="00970278">
      <w:pPr>
        <w:jc w:val="both"/>
        <w:rPr>
          <w:rFonts w:ascii="Calibri" w:hAnsi="Calibri" w:cs="Calibri"/>
          <w:i/>
          <w:color w:val="7F7F7F" w:themeColor="text1" w:themeTint="80"/>
          <w:sz w:val="26"/>
          <w:szCs w:val="26"/>
        </w:rPr>
      </w:pP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841FFF">
        <w:rPr>
          <w:rFonts w:ascii="Calibri" w:hAnsi="Calibri" w:cs="Calibri"/>
          <w:i/>
          <w:color w:val="7F7F7F" w:themeColor="text1" w:themeTint="80"/>
          <w:sz w:val="26"/>
          <w:szCs w:val="26"/>
        </w:rPr>
        <w:t>iedad</w:t>
      </w:r>
      <w:r w:rsidR="003C6A85" w:rsidRPr="003C6A85">
        <w:rPr>
          <w:rFonts w:ascii="Calibri" w:hAnsi="Calibri" w:cs="Calibri"/>
          <w:i/>
          <w:color w:val="7F7F7F" w:themeColor="text1" w:themeTint="80"/>
          <w:sz w:val="26"/>
          <w:szCs w:val="26"/>
        </w:rPr>
        <w:t xml:space="preserve"> Int</w:t>
      </w:r>
      <w:r w:rsidR="00841FFF">
        <w:rPr>
          <w:rFonts w:ascii="Calibri" w:hAnsi="Calibri" w:cs="Calibri"/>
          <w:i/>
          <w:color w:val="7F7F7F" w:themeColor="text1" w:themeTint="80"/>
          <w:sz w:val="26"/>
          <w:szCs w:val="26"/>
        </w:rPr>
        <w:t>egradora</w:t>
      </w:r>
      <w:r w:rsidR="00426029">
        <w:rPr>
          <w:rFonts w:ascii="Calibri" w:hAnsi="Calibri" w:cs="Calibri"/>
          <w:i/>
          <w:color w:val="7F7F7F" w:themeColor="text1" w:themeTint="80"/>
          <w:sz w:val="26"/>
          <w:szCs w:val="26"/>
        </w:rPr>
        <w:t>.</w:t>
      </w:r>
      <w:r w:rsidR="0050510E">
        <w:rPr>
          <w:rFonts w:ascii="Calibri" w:hAnsi="Calibri" w:cs="Calibri"/>
          <w:i/>
          <w:color w:val="7F7F7F" w:themeColor="text1" w:themeTint="80"/>
          <w:sz w:val="26"/>
          <w:szCs w:val="26"/>
        </w:rPr>
        <w:t xml:space="preserve"> del</w:t>
      </w:r>
      <w:r w:rsidR="003C6A85" w:rsidRPr="003C6A85">
        <w:rPr>
          <w:rFonts w:ascii="Calibri" w:hAnsi="Calibri" w:cs="Calibri"/>
          <w:i/>
          <w:color w:val="7F7F7F" w:themeColor="text1" w:themeTint="80"/>
          <w:sz w:val="26"/>
          <w:szCs w:val="26"/>
        </w:rPr>
        <w:t xml:space="preserve"> T</w:t>
      </w:r>
      <w:r w:rsidR="004E6820">
        <w:rPr>
          <w:rFonts w:ascii="Calibri" w:hAnsi="Calibri" w:cs="Calibri"/>
          <w:i/>
          <w:color w:val="7F7F7F" w:themeColor="text1" w:themeTint="80"/>
          <w:sz w:val="26"/>
          <w:szCs w:val="26"/>
        </w:rPr>
        <w:t>ra</w:t>
      </w:r>
      <w:r w:rsidR="00426029">
        <w:rPr>
          <w:rFonts w:ascii="Calibri" w:hAnsi="Calibri" w:cs="Calibri"/>
          <w:i/>
          <w:color w:val="7F7F7F" w:themeColor="text1" w:themeTint="80"/>
          <w:sz w:val="26"/>
          <w:szCs w:val="26"/>
        </w:rPr>
        <w:t>n</w:t>
      </w:r>
      <w:r w:rsidR="00055515">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p</w:t>
      </w:r>
      <w:r w:rsidR="00841FFF">
        <w:rPr>
          <w:rFonts w:ascii="Calibri" w:hAnsi="Calibri" w:cs="Calibri"/>
          <w:i/>
          <w:color w:val="7F7F7F" w:themeColor="text1" w:themeTint="80"/>
          <w:sz w:val="26"/>
          <w:szCs w:val="26"/>
        </w:rPr>
        <w:t>orte</w:t>
      </w:r>
      <w:r w:rsidR="003C6A85" w:rsidRPr="003C6A85">
        <w:rPr>
          <w:rFonts w:ascii="Calibri" w:hAnsi="Calibri" w:cs="Calibri"/>
          <w:i/>
          <w:color w:val="7F7F7F" w:themeColor="text1" w:themeTint="80"/>
          <w:sz w:val="26"/>
          <w:szCs w:val="26"/>
        </w:rPr>
        <w:t xml:space="preserve"> </w:t>
      </w:r>
      <w:r w:rsidR="00387FFA">
        <w:rPr>
          <w:rFonts w:ascii="Calibri" w:hAnsi="Calibri" w:cs="Calibri"/>
          <w:i/>
          <w:color w:val="7F7F7F" w:themeColor="text1" w:themeTint="80"/>
          <w:sz w:val="26"/>
          <w:szCs w:val="26"/>
        </w:rPr>
        <w:t>P</w:t>
      </w:r>
      <w:r w:rsidR="004E6820">
        <w:rPr>
          <w:rFonts w:ascii="Calibri" w:hAnsi="Calibri" w:cs="Calibri"/>
          <w:i/>
          <w:color w:val="7F7F7F" w:themeColor="text1" w:themeTint="80"/>
          <w:sz w:val="26"/>
          <w:szCs w:val="26"/>
        </w:rPr>
        <w:t>ub</w:t>
      </w:r>
      <w:r w:rsidR="00841FFF">
        <w:rPr>
          <w:rFonts w:ascii="Calibri" w:hAnsi="Calibri" w:cs="Calibri"/>
          <w:i/>
          <w:color w:val="7F7F7F" w:themeColor="text1" w:themeTint="80"/>
          <w:sz w:val="26"/>
          <w:szCs w:val="26"/>
        </w:rPr>
        <w:t>lico</w:t>
      </w:r>
      <w:r w:rsidR="003C6A85" w:rsidRPr="003C6A85">
        <w:rPr>
          <w:rFonts w:ascii="Calibri" w:hAnsi="Calibri" w:cs="Calibri"/>
          <w:i/>
          <w:color w:val="7F7F7F" w:themeColor="text1" w:themeTint="80"/>
          <w:sz w:val="26"/>
          <w:szCs w:val="26"/>
        </w:rPr>
        <w:t xml:space="preserve"> </w:t>
      </w:r>
      <w:r w:rsidR="00240CDC">
        <w:rPr>
          <w:rFonts w:ascii="Calibri" w:hAnsi="Calibri" w:cs="Calibri"/>
          <w:i/>
          <w:color w:val="7F7F7F" w:themeColor="text1" w:themeTint="80"/>
          <w:sz w:val="26"/>
          <w:szCs w:val="26"/>
        </w:rPr>
        <w:t>G</w:t>
      </w:r>
      <w:r w:rsidR="005D5BA5">
        <w:rPr>
          <w:rFonts w:ascii="Calibri" w:hAnsi="Calibri" w:cs="Calibri"/>
          <w:i/>
          <w:color w:val="7F7F7F" w:themeColor="text1" w:themeTint="80"/>
          <w:sz w:val="26"/>
          <w:szCs w:val="26"/>
        </w:rPr>
        <w:t xml:space="preserve">eneral </w:t>
      </w:r>
      <w:r w:rsidR="003C6A85" w:rsidRPr="003C6A85">
        <w:rPr>
          <w:rFonts w:ascii="Calibri" w:hAnsi="Calibri" w:cs="Calibri"/>
          <w:i/>
          <w:color w:val="7F7F7F" w:themeColor="text1" w:themeTint="80"/>
          <w:sz w:val="26"/>
          <w:szCs w:val="26"/>
        </w:rPr>
        <w:t>F</w:t>
      </w:r>
      <w:r w:rsidR="005D5BA5">
        <w:rPr>
          <w:rFonts w:ascii="Calibri" w:hAnsi="Calibri" w:cs="Calibri"/>
          <w:i/>
          <w:color w:val="7F7F7F" w:themeColor="text1" w:themeTint="80"/>
          <w:sz w:val="26"/>
          <w:szCs w:val="26"/>
        </w:rPr>
        <w:t>rancis</w:t>
      </w:r>
      <w:r w:rsidR="0050510E">
        <w:rPr>
          <w:rFonts w:ascii="Calibri" w:hAnsi="Calibri" w:cs="Calibri"/>
          <w:i/>
          <w:color w:val="7F7F7F" w:themeColor="text1" w:themeTint="80"/>
          <w:sz w:val="26"/>
          <w:szCs w:val="26"/>
        </w:rPr>
        <w:t>c</w:t>
      </w:r>
      <w:r w:rsidR="00BA255C">
        <w:rPr>
          <w:rFonts w:ascii="Calibri" w:hAnsi="Calibri" w:cs="Calibri"/>
          <w:i/>
          <w:color w:val="7F7F7F" w:themeColor="text1" w:themeTint="80"/>
          <w:sz w:val="26"/>
          <w:szCs w:val="26"/>
        </w:rPr>
        <w:t>o</w:t>
      </w:r>
      <w:r w:rsidR="003C6A85" w:rsidRPr="003C6A85">
        <w:rPr>
          <w:rFonts w:ascii="Calibri" w:hAnsi="Calibri" w:cs="Calibri"/>
          <w:i/>
          <w:color w:val="7F7F7F" w:themeColor="text1" w:themeTint="80"/>
          <w:sz w:val="26"/>
          <w:szCs w:val="26"/>
        </w:rPr>
        <w:t xml:space="preserve"> Villa, S.A. de C.V.”</w:t>
      </w:r>
      <w:r w:rsidRPr="00951F38">
        <w:rPr>
          <w:rFonts w:ascii="Calibri" w:hAnsi="Calibri" w:cs="Calibri"/>
          <w:i/>
          <w:color w:val="7F7F7F" w:themeColor="text1" w:themeTint="80"/>
          <w:sz w:val="26"/>
          <w:szCs w:val="26"/>
        </w:rPr>
        <w:t xml:space="preserve">., domicilio: </w:t>
      </w:r>
      <w:r w:rsidR="00A1389D">
        <w:rPr>
          <w:rFonts w:ascii="Calibri" w:hAnsi="Calibri" w:cs="Calibri"/>
          <w:i/>
          <w:color w:val="7F7F7F" w:themeColor="text1" w:themeTint="80"/>
          <w:sz w:val="26"/>
          <w:szCs w:val="26"/>
        </w:rPr>
        <w:t xml:space="preserve">Francisco </w:t>
      </w:r>
      <w:r w:rsidR="003C6A85">
        <w:rPr>
          <w:rFonts w:ascii="Calibri" w:hAnsi="Calibri" w:cs="Calibri"/>
          <w:i/>
          <w:color w:val="7F7F7F" w:themeColor="text1" w:themeTint="80"/>
          <w:sz w:val="26"/>
          <w:szCs w:val="26"/>
        </w:rPr>
        <w:t>Mena #101</w:t>
      </w:r>
      <w:r w:rsidR="00A1389D">
        <w:rPr>
          <w:rFonts w:ascii="Calibri" w:hAnsi="Calibri" w:cs="Calibri"/>
          <w:i/>
          <w:color w:val="7F7F7F" w:themeColor="text1" w:themeTint="80"/>
          <w:sz w:val="26"/>
          <w:szCs w:val="26"/>
        </w:rPr>
        <w:t xml:space="preserve"> </w:t>
      </w:r>
      <w:r w:rsidR="005D5BA5">
        <w:rPr>
          <w:rFonts w:ascii="Calibri" w:hAnsi="Calibri" w:cs="Calibri"/>
          <w:i/>
          <w:color w:val="7F7F7F" w:themeColor="text1" w:themeTint="80"/>
          <w:sz w:val="26"/>
          <w:szCs w:val="26"/>
        </w:rPr>
        <w:t>Predio Los Gómez</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00970278">
        <w:rPr>
          <w:rFonts w:ascii="Calibri" w:hAnsi="Calibri" w:cs="Calibri"/>
          <w:iCs/>
          <w:color w:val="7F7F7F" w:themeColor="text1" w:themeTint="80"/>
          <w:sz w:val="26"/>
          <w:szCs w:val="26"/>
        </w:rPr>
        <w:t xml:space="preserve">. . . . . . . . . . .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AF5036">
        <w:rPr>
          <w:rFonts w:ascii="Calibri" w:hAnsi="Calibri" w:cs="Calibri"/>
          <w:iCs/>
          <w:color w:val="7F7F7F" w:themeColor="text1" w:themeTint="80"/>
          <w:sz w:val="26"/>
          <w:szCs w:val="26"/>
        </w:rPr>
        <w:t>.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Default="004F6C7F" w:rsidP="00DD04BF">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F74169">
        <w:rPr>
          <w:rFonts w:ascii="Calibri" w:hAnsi="Calibri" w:cs="Calibri"/>
          <w:color w:val="7F7F7F" w:themeColor="text1" w:themeTint="80"/>
          <w:sz w:val="26"/>
          <w:szCs w:val="26"/>
        </w:rPr>
        <w:t xml:space="preserve"> </w:t>
      </w:r>
      <w:r w:rsidR="008E65C4">
        <w:rPr>
          <w:rFonts w:ascii="Calibri" w:hAnsi="Calibri" w:cs="Calibri"/>
          <w:color w:val="7F7F7F" w:themeColor="text1" w:themeTint="80"/>
          <w:sz w:val="26"/>
          <w:szCs w:val="26"/>
        </w:rPr>
        <w:t xml:space="preserve"> </w:t>
      </w:r>
      <w:r w:rsidR="00CC6F42">
        <w:rPr>
          <w:rFonts w:ascii="Calibri" w:hAnsi="Calibri" w:cs="Calibri"/>
          <w:color w:val="7F7F7F" w:themeColor="text1" w:themeTint="80"/>
          <w:sz w:val="26"/>
          <w:szCs w:val="26"/>
        </w:rPr>
        <w:t>359480 (tres-cinco-nueve-cuatro-ocho-cero)</w:t>
      </w:r>
      <w:r w:rsidR="00DD04BF" w:rsidRPr="00951F38">
        <w:rPr>
          <w:rFonts w:ascii="Calibri" w:hAnsi="Calibri" w:cs="Calibri"/>
          <w:color w:val="7F7F7F" w:themeColor="text1" w:themeTint="80"/>
          <w:sz w:val="26"/>
          <w:szCs w:val="26"/>
        </w:rPr>
        <w:t xml:space="preserve">, de fecha </w:t>
      </w:r>
      <w:r w:rsidR="00CC6F42">
        <w:rPr>
          <w:rFonts w:ascii="Calibri" w:hAnsi="Calibri" w:cs="Calibri"/>
          <w:color w:val="7F7F7F" w:themeColor="text1" w:themeTint="80"/>
          <w:sz w:val="26"/>
          <w:szCs w:val="26"/>
        </w:rPr>
        <w:t>24 veinticuatro de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2016 dos mil dieciséis</w:t>
      </w:r>
      <w:r w:rsidR="00C66A7A">
        <w:rPr>
          <w:rFonts w:ascii="Calibri" w:hAnsi="Calibri" w:cs="Calibri"/>
          <w:color w:val="7F7F7F" w:themeColor="text1" w:themeTint="80"/>
          <w:sz w:val="26"/>
          <w:szCs w:val="26"/>
        </w:rPr>
        <w:t xml:space="preserve"> y la procedencia o improcedencia de sus pretensiones</w:t>
      </w:r>
      <w:r w:rsidR="00970278">
        <w:rPr>
          <w:rFonts w:ascii="Calibri" w:hAnsi="Calibri" w:cs="Calibri"/>
          <w:color w:val="7F7F7F" w:themeColor="text1" w:themeTint="80"/>
          <w:sz w:val="26"/>
          <w:szCs w:val="26"/>
        </w:rPr>
        <w:t xml:space="preserve">. . . . . . . . . . . . . . . . </w:t>
      </w:r>
    </w:p>
    <w:p w:rsidR="00DD04BF" w:rsidRPr="00951F38" w:rsidRDefault="00DD04BF" w:rsidP="00DD04BF">
      <w:pPr>
        <w:pStyle w:val="Textoindependiente"/>
        <w:tabs>
          <w:tab w:val="left" w:pos="3594"/>
        </w:tabs>
        <w:rPr>
          <w:color w:val="7F7F7F" w:themeColor="text1" w:themeTint="80"/>
          <w:sz w:val="22"/>
        </w:rPr>
      </w:pPr>
    </w:p>
    <w:p w:rsidR="004F6C7F" w:rsidRPr="00951F38" w:rsidRDefault="004F6C7F" w:rsidP="00AF503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C66A7A">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C66A7A">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970278">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 xml:space="preserve">que el </w:t>
      </w:r>
      <w:r w:rsidRPr="00951F38">
        <w:rPr>
          <w:rFonts w:ascii="Calibri" w:hAnsi="Calibri" w:cs="Calibri"/>
          <w:bCs/>
          <w:color w:val="7F7F7F" w:themeColor="text1" w:themeTint="80"/>
          <w:sz w:val="26"/>
          <w:szCs w:val="26"/>
        </w:rPr>
        <w:lastRenderedPageBreak/>
        <w:t>inspector demandado, emi</w:t>
      </w:r>
      <w:r w:rsidR="008E65C4">
        <w:rPr>
          <w:rFonts w:ascii="Calibri" w:hAnsi="Calibri" w:cs="Calibri"/>
          <w:bCs/>
          <w:color w:val="7F7F7F" w:themeColor="text1" w:themeTint="80"/>
          <w:sz w:val="26"/>
          <w:szCs w:val="26"/>
        </w:rPr>
        <w:t xml:space="preserve">tió el acta de Infracción número </w:t>
      </w:r>
      <w:r w:rsidR="00CC6F42">
        <w:rPr>
          <w:rFonts w:ascii="Calibri" w:hAnsi="Calibri" w:cs="Calibri"/>
          <w:color w:val="7F7F7F" w:themeColor="text1" w:themeTint="80"/>
          <w:sz w:val="26"/>
          <w:szCs w:val="26"/>
        </w:rPr>
        <w:t>359480 (tres-cinco-nueve-cuatro-ocho-cero)</w:t>
      </w:r>
      <w:r w:rsidR="00DD04BF" w:rsidRPr="00951F38">
        <w:rPr>
          <w:rFonts w:ascii="Calibri" w:hAnsi="Calibri" w:cs="Calibri"/>
          <w:color w:val="7F7F7F" w:themeColor="text1" w:themeTint="80"/>
          <w:sz w:val="26"/>
          <w:szCs w:val="26"/>
        </w:rPr>
        <w:t xml:space="preserve">, de fecha </w:t>
      </w:r>
      <w:r w:rsidR="00CC6F42">
        <w:rPr>
          <w:rFonts w:ascii="Calibri" w:hAnsi="Calibri" w:cs="Calibri"/>
          <w:color w:val="7F7F7F" w:themeColor="text1" w:themeTint="80"/>
          <w:sz w:val="26"/>
          <w:szCs w:val="26"/>
        </w:rPr>
        <w:t>24 veinticuatro de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2016 dos mil dieciséis</w:t>
      </w:r>
      <w:r w:rsidR="00DD04BF"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F5036">
        <w:rPr>
          <w:rFonts w:ascii="Calibri" w:hAnsi="Calibri" w:cs="Calibri"/>
          <w:bCs/>
          <w:color w:val="7F7F7F" w:themeColor="text1" w:themeTint="80"/>
          <w:sz w:val="26"/>
          <w:szCs w:val="26"/>
        </w:rPr>
        <w:t xml:space="preserve"> . . . . . . . . </w:t>
      </w:r>
      <w:r w:rsidR="00970278">
        <w:rPr>
          <w:rFonts w:ascii="Calibri" w:hAnsi="Calibri" w:cs="Calibri"/>
          <w:bCs/>
          <w:color w:val="7F7F7F" w:themeColor="text1" w:themeTint="80"/>
          <w:sz w:val="26"/>
          <w:szCs w:val="26"/>
        </w:rPr>
        <w:t xml:space="preserve">.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00651BEC">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AF5036">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AF5036">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AF5036"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651BEC">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CC6F42">
        <w:rPr>
          <w:rFonts w:ascii="Calibri" w:hAnsi="Calibri" w:cs="Calibri"/>
          <w:color w:val="7F7F7F" w:themeColor="text1" w:themeTint="80"/>
          <w:sz w:val="26"/>
          <w:szCs w:val="26"/>
        </w:rPr>
        <w:t>359480 (tres-cinco-nueve-cuatro-ocho-cero)</w:t>
      </w:r>
      <w:r w:rsidR="00DD04BF" w:rsidRPr="00951F38">
        <w:rPr>
          <w:rFonts w:ascii="Calibri" w:hAnsi="Calibri" w:cs="Calibri"/>
          <w:color w:val="7F7F7F" w:themeColor="text1" w:themeTint="80"/>
          <w:sz w:val="26"/>
          <w:szCs w:val="26"/>
        </w:rPr>
        <w:t xml:space="preserve">, de fecha </w:t>
      </w:r>
      <w:r w:rsidR="00CC6F42">
        <w:rPr>
          <w:rFonts w:ascii="Calibri" w:hAnsi="Calibri" w:cs="Calibri"/>
          <w:color w:val="7F7F7F" w:themeColor="text1" w:themeTint="80"/>
          <w:sz w:val="26"/>
          <w:szCs w:val="26"/>
        </w:rPr>
        <w:t>24 veinticuatro de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2016 dos mil dieciséis</w:t>
      </w:r>
      <w:r w:rsidR="008E65C4"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w:t>
      </w:r>
    </w:p>
    <w:p w:rsidR="004F6C7F" w:rsidRPr="00951F38" w:rsidRDefault="004F6C7F" w:rsidP="00AF5036">
      <w:pPr>
        <w:jc w:val="both"/>
        <w:rPr>
          <w:rFonts w:ascii="Calibri" w:hAnsi="Calibri" w:cs="Calibri"/>
          <w:bCs/>
          <w:i/>
          <w:color w:val="7F7F7F" w:themeColor="text1" w:themeTint="80"/>
          <w:sz w:val="26"/>
          <w:szCs w:val="26"/>
        </w:rPr>
      </w:pPr>
      <w:proofErr w:type="gramStart"/>
      <w:r w:rsidRPr="00951F38">
        <w:rPr>
          <w:rFonts w:ascii="Calibri" w:hAnsi="Calibri" w:cs="Calibri"/>
          <w:bCs/>
          <w:color w:val="7F7F7F" w:themeColor="text1" w:themeTint="80"/>
          <w:sz w:val="26"/>
          <w:szCs w:val="26"/>
        </w:rPr>
        <w:t>del</w:t>
      </w:r>
      <w:proofErr w:type="gramEnd"/>
      <w:r w:rsidRPr="00951F38">
        <w:rPr>
          <w:rFonts w:ascii="Calibri" w:hAnsi="Calibri" w:cs="Calibri"/>
          <w:bCs/>
          <w:color w:val="7F7F7F" w:themeColor="text1" w:themeTint="80"/>
          <w:sz w:val="26"/>
          <w:szCs w:val="26"/>
        </w:rPr>
        <w:t xml:space="preserve">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w:t>
      </w:r>
    </w:p>
    <w:p w:rsidR="00970278" w:rsidRDefault="00970278" w:rsidP="0097027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0136/2do JAM/2017-JN</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w:t>
      </w:r>
      <w:r w:rsidRPr="00951F38">
        <w:rPr>
          <w:rFonts w:ascii="Calibri" w:hAnsi="Calibri" w:cs="Calibri"/>
          <w:bCs/>
          <w:color w:val="7F7F7F" w:themeColor="text1" w:themeTint="80"/>
          <w:sz w:val="26"/>
          <w:szCs w:val="26"/>
        </w:rPr>
        <w:lastRenderedPageBreak/>
        <w:t>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sidR="00DD04BF">
        <w:rPr>
          <w:rFonts w:ascii="Calibri" w:hAnsi="Calibri" w:cs="Calibri"/>
          <w:b/>
          <w:color w:val="7F7F7F" w:themeColor="text1" w:themeTint="80"/>
          <w:sz w:val="26"/>
          <w:szCs w:val="26"/>
        </w:rPr>
        <w:t xml:space="preserve"> </w:t>
      </w:r>
      <w:r w:rsidR="00CC6F42">
        <w:rPr>
          <w:rFonts w:ascii="Calibri" w:hAnsi="Calibri" w:cs="Calibri"/>
          <w:b/>
          <w:color w:val="7F7F7F" w:themeColor="text1" w:themeTint="80"/>
          <w:sz w:val="26"/>
          <w:szCs w:val="26"/>
        </w:rPr>
        <w:t>359480 (tres-cinco-nueve-cuatro-ocho-cero)</w:t>
      </w:r>
      <w:r w:rsidR="00DD04BF" w:rsidRPr="00951F38">
        <w:rPr>
          <w:rFonts w:ascii="Calibri" w:hAnsi="Calibri" w:cs="Calibri"/>
          <w:color w:val="7F7F7F" w:themeColor="text1" w:themeTint="80"/>
          <w:sz w:val="26"/>
          <w:szCs w:val="26"/>
        </w:rPr>
        <w:t xml:space="preserve"> de fecha </w:t>
      </w:r>
      <w:r w:rsidR="00CC6F42">
        <w:rPr>
          <w:rFonts w:ascii="Calibri" w:hAnsi="Calibri" w:cs="Calibri"/>
          <w:b/>
          <w:color w:val="7F7F7F" w:themeColor="text1" w:themeTint="80"/>
          <w:sz w:val="26"/>
          <w:szCs w:val="26"/>
        </w:rPr>
        <w:t xml:space="preserve">24 </w:t>
      </w:r>
      <w:r w:rsidR="00CC6F42" w:rsidRPr="005D5BA5">
        <w:rPr>
          <w:rFonts w:ascii="Calibri" w:hAnsi="Calibri" w:cs="Calibri"/>
          <w:color w:val="7F7F7F" w:themeColor="text1" w:themeTint="80"/>
          <w:sz w:val="26"/>
          <w:szCs w:val="26"/>
        </w:rPr>
        <w:t>veinticuatro de</w:t>
      </w:r>
      <w:r w:rsidR="00CC6F42">
        <w:rPr>
          <w:rFonts w:ascii="Calibri" w:hAnsi="Calibri" w:cs="Calibri"/>
          <w:b/>
          <w:color w:val="7F7F7F" w:themeColor="text1" w:themeTint="80"/>
          <w:sz w:val="26"/>
          <w:szCs w:val="26"/>
        </w:rPr>
        <w:t xml:space="preserv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sidRPr="00DD04BF">
        <w:rPr>
          <w:rFonts w:ascii="Calibri" w:hAnsi="Calibri" w:cs="Calibri"/>
          <w:b/>
          <w:color w:val="7F7F7F" w:themeColor="text1" w:themeTint="80"/>
          <w:sz w:val="26"/>
          <w:szCs w:val="26"/>
        </w:rPr>
        <w:t>2016</w:t>
      </w:r>
      <w:r w:rsidR="00DD04B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AF5036">
        <w:rPr>
          <w:rFonts w:ascii="Calibri" w:hAnsi="Calibri" w:cs="Calibri"/>
          <w:color w:val="7F7F7F" w:themeColor="text1" w:themeTint="80"/>
          <w:sz w:val="26"/>
          <w:szCs w:val="26"/>
        </w:rPr>
        <w:t xml:space="preserve">.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8E0986">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781016">
        <w:rPr>
          <w:rFonts w:ascii="Calibri" w:hAnsi="Calibri" w:cs="Arial"/>
          <w:color w:val="7F7F7F" w:themeColor="text1" w:themeTint="80"/>
          <w:sz w:val="26"/>
          <w:szCs w:val="27"/>
        </w:rPr>
        <w:t xml:space="preserve"> resolución. . . . . . . . . . </w:t>
      </w:r>
    </w:p>
    <w:p w:rsidR="004F6C7F" w:rsidRPr="00781016" w:rsidRDefault="004F6C7F" w:rsidP="004F6C7F">
      <w:pPr>
        <w:pStyle w:val="Textoindependiente"/>
        <w:rPr>
          <w:rFonts w:ascii="Calibri" w:hAnsi="Calibri" w:cs="Arial"/>
          <w:color w:val="7F7F7F" w:themeColor="text1" w:themeTint="80"/>
          <w:sz w:val="20"/>
          <w:szCs w:val="27"/>
          <w:lang w:val="es-ES"/>
        </w:rPr>
      </w:pPr>
    </w:p>
    <w:p w:rsidR="00FC69A4" w:rsidRPr="00C913BE" w:rsidRDefault="004F6C7F" w:rsidP="00C913BE">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Default="004F6C7F" w:rsidP="004F6C7F">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970278">
      <w:pPr>
        <w:pStyle w:val="Textoindependiente"/>
        <w:rPr>
          <w:rFonts w:ascii="Calibri" w:hAnsi="Calibri"/>
          <w:b/>
          <w:i/>
          <w:color w:val="7F7F7F" w:themeColor="text1" w:themeTint="80"/>
          <w:sz w:val="26"/>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970278">
        <w:rPr>
          <w:rFonts w:ascii="Calibri" w:hAnsi="Calibri" w:cs="Arial"/>
          <w:color w:val="767171" w:themeColor="background2" w:themeShade="80"/>
          <w:sz w:val="26"/>
          <w:szCs w:val="27"/>
        </w:rPr>
        <w:t>. . . . . . . . . . . . . . . . . . . . . . . . . . . . . . . . . . . . . . . . . . . . . . . .</w:t>
      </w:r>
    </w:p>
    <w:p w:rsidR="00AC3CC0" w:rsidRPr="007E5946" w:rsidRDefault="00AC3CC0" w:rsidP="004F6C7F">
      <w:pPr>
        <w:pStyle w:val="Textoindependiente"/>
        <w:ind w:firstLine="708"/>
        <w:rPr>
          <w:rFonts w:ascii="Calibri" w:hAnsi="Calibri" w:cs="Arial"/>
          <w:color w:val="767171" w:themeColor="background2" w:themeShade="80"/>
          <w:sz w:val="20"/>
          <w:szCs w:val="20"/>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lastRenderedPageBreak/>
        <w:t>demandado a que proceda a re</w:t>
      </w:r>
      <w:r>
        <w:rPr>
          <w:rFonts w:ascii="Calibri" w:hAnsi="Calibri"/>
          <w:color w:val="767171" w:themeColor="background2" w:themeShade="80"/>
          <w:sz w:val="26"/>
          <w:szCs w:val="26"/>
        </w:rPr>
        <w:t xml:space="preserve">alizar dicha devolución. . .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 . . </w:t>
      </w:r>
    </w:p>
    <w:p w:rsidR="004F6C7F" w:rsidRPr="007E5946" w:rsidRDefault="004F6C7F" w:rsidP="007E5946">
      <w:pPr>
        <w:pStyle w:val="Textoindependiente"/>
        <w:ind w:firstLine="708"/>
        <w:rPr>
          <w:rFonts w:ascii="Calibri" w:hAnsi="Calibri" w:cs="Arial"/>
          <w:color w:val="7F7F7F" w:themeColor="text1" w:themeTint="80"/>
          <w:sz w:val="20"/>
          <w:szCs w:val="20"/>
        </w:rPr>
      </w:pPr>
      <w:r w:rsidRPr="007E5946">
        <w:rPr>
          <w:rFonts w:ascii="Calibri" w:hAnsi="Calibri" w:cs="Arial"/>
          <w:color w:val="7F7F7F" w:themeColor="text1" w:themeTint="80"/>
          <w:sz w:val="20"/>
          <w:szCs w:val="20"/>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7E5946" w:rsidRDefault="004F6C7F" w:rsidP="004F6C7F">
      <w:pPr>
        <w:pStyle w:val="Textoindependiente"/>
        <w:ind w:firstLine="708"/>
        <w:rPr>
          <w:rFonts w:ascii="Calibri" w:hAnsi="Calibri" w:cs="Calibri"/>
          <w:color w:val="7F7F7F" w:themeColor="text1" w:themeTint="80"/>
          <w:sz w:val="20"/>
          <w:szCs w:val="20"/>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7E5946" w:rsidRDefault="004F6C7F" w:rsidP="004F6C7F">
      <w:pPr>
        <w:pStyle w:val="Textoindependiente"/>
        <w:ind w:firstLine="708"/>
        <w:rPr>
          <w:rFonts w:ascii="Calibri" w:hAnsi="Calibri" w:cs="Calibri"/>
          <w:color w:val="7F7F7F" w:themeColor="text1" w:themeTint="80"/>
          <w:sz w:val="20"/>
          <w:szCs w:val="20"/>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6B7D0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651BEC">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w:t>
      </w:r>
    </w:p>
    <w:p w:rsidR="00EF37E3" w:rsidRPr="00951F38" w:rsidRDefault="00EF37E3"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DD04BF">
        <w:rPr>
          <w:rFonts w:ascii="Calibri" w:hAnsi="Calibri" w:cs="Calibri"/>
          <w:b/>
          <w:color w:val="7F7F7F" w:themeColor="text1" w:themeTint="80"/>
          <w:sz w:val="26"/>
          <w:szCs w:val="26"/>
        </w:rPr>
        <w:t xml:space="preserve"> </w:t>
      </w:r>
      <w:r w:rsidR="00CC6F42">
        <w:rPr>
          <w:rFonts w:ascii="Calibri" w:hAnsi="Calibri" w:cs="Calibri"/>
          <w:b/>
          <w:color w:val="7F7F7F" w:themeColor="text1" w:themeTint="80"/>
          <w:sz w:val="26"/>
          <w:szCs w:val="26"/>
        </w:rPr>
        <w:t>359480 (tres-cinco-nueve-cuatro-ocho-cero)</w:t>
      </w:r>
      <w:r w:rsidR="00DD04BF" w:rsidRPr="00951F38">
        <w:rPr>
          <w:rFonts w:ascii="Calibri" w:hAnsi="Calibri" w:cs="Calibri"/>
          <w:color w:val="7F7F7F" w:themeColor="text1" w:themeTint="80"/>
          <w:sz w:val="26"/>
          <w:szCs w:val="26"/>
        </w:rPr>
        <w:t xml:space="preserve">, de fecha </w:t>
      </w:r>
      <w:r w:rsidR="00CC6F42">
        <w:rPr>
          <w:rFonts w:ascii="Calibri" w:hAnsi="Calibri" w:cs="Calibri"/>
          <w:b/>
          <w:color w:val="7F7F7F" w:themeColor="text1" w:themeTint="80"/>
          <w:sz w:val="26"/>
          <w:szCs w:val="26"/>
        </w:rPr>
        <w:t xml:space="preserve">24 </w:t>
      </w:r>
      <w:r w:rsidR="00CC6F42" w:rsidRPr="005D5BA5">
        <w:rPr>
          <w:rFonts w:ascii="Calibri" w:hAnsi="Calibri" w:cs="Calibri"/>
          <w:color w:val="7F7F7F" w:themeColor="text1" w:themeTint="80"/>
          <w:sz w:val="26"/>
          <w:szCs w:val="26"/>
        </w:rPr>
        <w:t>veinticuatro de</w:t>
      </w:r>
      <w:r w:rsidR="00CC6F42">
        <w:rPr>
          <w:rFonts w:ascii="Calibri" w:hAnsi="Calibri" w:cs="Calibri"/>
          <w:b/>
          <w:color w:val="7F7F7F" w:themeColor="text1" w:themeTint="80"/>
          <w:sz w:val="26"/>
          <w:szCs w:val="26"/>
        </w:rPr>
        <w:t xml:space="preserv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sidRPr="0062483F">
        <w:rPr>
          <w:rFonts w:ascii="Calibri" w:hAnsi="Calibri" w:cs="Calibri"/>
          <w:b/>
          <w:color w:val="7F7F7F" w:themeColor="text1" w:themeTint="80"/>
          <w:sz w:val="26"/>
          <w:szCs w:val="26"/>
        </w:rPr>
        <w:t>2016</w:t>
      </w:r>
      <w:r w:rsidR="00DD04B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w:t>
      </w:r>
      <w:r w:rsidR="007E5946">
        <w:rPr>
          <w:rFonts w:ascii="Calibri" w:hAnsi="Calibri" w:cs="Calibri"/>
          <w:color w:val="7F7F7F" w:themeColor="text1" w:themeTint="80"/>
          <w:sz w:val="26"/>
          <w:szCs w:val="26"/>
        </w:rPr>
        <w:t xml:space="preserve">.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6B7D02">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bookmarkStart w:id="0" w:name="_GoBack"/>
      <w:r w:rsidR="00651BEC">
        <w:rPr>
          <w:rFonts w:ascii="Calibri" w:hAnsi="Calibri" w:cs="Calibri"/>
          <w:b/>
          <w:i/>
          <w:color w:val="7F7F7F" w:themeColor="text1" w:themeTint="80"/>
          <w:sz w:val="26"/>
          <w:szCs w:val="26"/>
        </w:rPr>
        <w:t>*****</w:t>
      </w:r>
      <w:bookmarkEnd w:id="0"/>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xml:space="preserve">. . . . . . . . . . . . . . . . . . . . . . . . . . . . . . . . . . . . . . . </w:t>
      </w:r>
      <w:r w:rsidR="007E5946">
        <w:rPr>
          <w:rFonts w:ascii="Calibri" w:hAnsi="Calibri"/>
          <w:color w:val="7F7F7F" w:themeColor="text1" w:themeTint="80"/>
          <w:sz w:val="26"/>
        </w:rPr>
        <w:t>. . . . . . . . . . . . .</w:t>
      </w:r>
    </w:p>
    <w:p w:rsidR="004F6C7F" w:rsidRPr="00951F38" w:rsidRDefault="004F6C7F" w:rsidP="004F6C7F">
      <w:pPr>
        <w:jc w:val="both"/>
        <w:rPr>
          <w:rFonts w:ascii="Calibri" w:hAnsi="Calibri" w:cs="Calibri"/>
          <w:color w:val="7F7F7F" w:themeColor="text1" w:themeTint="80"/>
          <w:sz w:val="20"/>
          <w:szCs w:val="20"/>
        </w:rPr>
      </w:pPr>
    </w:p>
    <w:p w:rsidR="00C913BE" w:rsidRPr="007E5946" w:rsidRDefault="004F6C7F" w:rsidP="007E5946">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C913BE" w:rsidRDefault="00C913BE"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sectPr w:rsidR="004F6C7F"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D02" w:rsidRDefault="006B7D02">
      <w:r>
        <w:separator/>
      </w:r>
    </w:p>
  </w:endnote>
  <w:endnote w:type="continuationSeparator" w:id="0">
    <w:p w:rsidR="006B7D02" w:rsidRDefault="006B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D02" w:rsidRDefault="006B7D02">
      <w:r>
        <w:separator/>
      </w:r>
    </w:p>
  </w:footnote>
  <w:footnote w:type="continuationSeparator" w:id="0">
    <w:p w:rsidR="006B7D02" w:rsidRDefault="006B7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D02" w:rsidRDefault="006B7D0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B7D02" w:rsidRDefault="006B7D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D02" w:rsidRDefault="006B7D0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1BEC">
      <w:rPr>
        <w:rStyle w:val="Nmerodepgina"/>
        <w:noProof/>
      </w:rPr>
      <w:t>2</w:t>
    </w:r>
    <w:r>
      <w:rPr>
        <w:rStyle w:val="Nmerodepgina"/>
      </w:rPr>
      <w:fldChar w:fldCharType="end"/>
    </w:r>
  </w:p>
  <w:p w:rsidR="006B7D02" w:rsidRDefault="006B7D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545AD"/>
    <w:rsid w:val="00055515"/>
    <w:rsid w:val="00056C22"/>
    <w:rsid w:val="0006474B"/>
    <w:rsid w:val="00067164"/>
    <w:rsid w:val="00070F54"/>
    <w:rsid w:val="00075950"/>
    <w:rsid w:val="00093B6C"/>
    <w:rsid w:val="000A2B74"/>
    <w:rsid w:val="000B1D63"/>
    <w:rsid w:val="000B2C6F"/>
    <w:rsid w:val="000B5D22"/>
    <w:rsid w:val="000D01FF"/>
    <w:rsid w:val="00103AEB"/>
    <w:rsid w:val="00116598"/>
    <w:rsid w:val="00122C0A"/>
    <w:rsid w:val="0015104B"/>
    <w:rsid w:val="001676C0"/>
    <w:rsid w:val="00172FB5"/>
    <w:rsid w:val="00184EB8"/>
    <w:rsid w:val="001A6F82"/>
    <w:rsid w:val="001B37AC"/>
    <w:rsid w:val="001C4D35"/>
    <w:rsid w:val="00211745"/>
    <w:rsid w:val="00224D85"/>
    <w:rsid w:val="00240CDC"/>
    <w:rsid w:val="0024110D"/>
    <w:rsid w:val="0026542A"/>
    <w:rsid w:val="00294D30"/>
    <w:rsid w:val="00296478"/>
    <w:rsid w:val="002A0D5A"/>
    <w:rsid w:val="002A4A74"/>
    <w:rsid w:val="002A7860"/>
    <w:rsid w:val="002C6BD5"/>
    <w:rsid w:val="002D0997"/>
    <w:rsid w:val="002E08F6"/>
    <w:rsid w:val="002F08AC"/>
    <w:rsid w:val="002F3D1C"/>
    <w:rsid w:val="00320E2A"/>
    <w:rsid w:val="00351984"/>
    <w:rsid w:val="0035370B"/>
    <w:rsid w:val="00355202"/>
    <w:rsid w:val="00363CBB"/>
    <w:rsid w:val="0036712F"/>
    <w:rsid w:val="00381E31"/>
    <w:rsid w:val="00387FFA"/>
    <w:rsid w:val="00392B92"/>
    <w:rsid w:val="003A4E54"/>
    <w:rsid w:val="003C6A85"/>
    <w:rsid w:val="003F3DA5"/>
    <w:rsid w:val="00406823"/>
    <w:rsid w:val="00426029"/>
    <w:rsid w:val="004358D7"/>
    <w:rsid w:val="004469D1"/>
    <w:rsid w:val="004504E8"/>
    <w:rsid w:val="00453A72"/>
    <w:rsid w:val="00466356"/>
    <w:rsid w:val="004739D8"/>
    <w:rsid w:val="00481059"/>
    <w:rsid w:val="0049024D"/>
    <w:rsid w:val="004925AC"/>
    <w:rsid w:val="004A2EAF"/>
    <w:rsid w:val="004B1289"/>
    <w:rsid w:val="004B1302"/>
    <w:rsid w:val="004D0B1E"/>
    <w:rsid w:val="004D2252"/>
    <w:rsid w:val="004E6820"/>
    <w:rsid w:val="004F63C0"/>
    <w:rsid w:val="004F6C7F"/>
    <w:rsid w:val="00500EE2"/>
    <w:rsid w:val="0050510E"/>
    <w:rsid w:val="00507CD3"/>
    <w:rsid w:val="0051752D"/>
    <w:rsid w:val="0052229A"/>
    <w:rsid w:val="00527ADA"/>
    <w:rsid w:val="00536EB7"/>
    <w:rsid w:val="00566EA4"/>
    <w:rsid w:val="00571DF0"/>
    <w:rsid w:val="005836CF"/>
    <w:rsid w:val="0058450C"/>
    <w:rsid w:val="005A1161"/>
    <w:rsid w:val="005A27DD"/>
    <w:rsid w:val="005A2B9D"/>
    <w:rsid w:val="005A7E18"/>
    <w:rsid w:val="005C3C08"/>
    <w:rsid w:val="005D5BA5"/>
    <w:rsid w:val="005F3495"/>
    <w:rsid w:val="005F3C30"/>
    <w:rsid w:val="00615A56"/>
    <w:rsid w:val="0062483F"/>
    <w:rsid w:val="0063334E"/>
    <w:rsid w:val="00636F11"/>
    <w:rsid w:val="006374E8"/>
    <w:rsid w:val="00651BEC"/>
    <w:rsid w:val="00651D40"/>
    <w:rsid w:val="00660EF5"/>
    <w:rsid w:val="006628E4"/>
    <w:rsid w:val="00665825"/>
    <w:rsid w:val="00686D2A"/>
    <w:rsid w:val="006A5F50"/>
    <w:rsid w:val="006B7D02"/>
    <w:rsid w:val="006D16E7"/>
    <w:rsid w:val="00720C29"/>
    <w:rsid w:val="0072455D"/>
    <w:rsid w:val="007439A5"/>
    <w:rsid w:val="007463EB"/>
    <w:rsid w:val="007565B7"/>
    <w:rsid w:val="00760E62"/>
    <w:rsid w:val="0077061C"/>
    <w:rsid w:val="00773F07"/>
    <w:rsid w:val="00776397"/>
    <w:rsid w:val="00781016"/>
    <w:rsid w:val="007853C3"/>
    <w:rsid w:val="007858C0"/>
    <w:rsid w:val="00794F75"/>
    <w:rsid w:val="007A3408"/>
    <w:rsid w:val="007A4A02"/>
    <w:rsid w:val="007D060E"/>
    <w:rsid w:val="007D11E2"/>
    <w:rsid w:val="007D58F4"/>
    <w:rsid w:val="007E5946"/>
    <w:rsid w:val="007F4A1E"/>
    <w:rsid w:val="007F73CB"/>
    <w:rsid w:val="007F7FB3"/>
    <w:rsid w:val="008011EE"/>
    <w:rsid w:val="00813A59"/>
    <w:rsid w:val="00826DFD"/>
    <w:rsid w:val="00841FFF"/>
    <w:rsid w:val="008447A0"/>
    <w:rsid w:val="00855740"/>
    <w:rsid w:val="008623DC"/>
    <w:rsid w:val="00884C9E"/>
    <w:rsid w:val="00890704"/>
    <w:rsid w:val="008A0AE3"/>
    <w:rsid w:val="008A72FD"/>
    <w:rsid w:val="008B0E11"/>
    <w:rsid w:val="008B55C2"/>
    <w:rsid w:val="008D0C92"/>
    <w:rsid w:val="008D2C43"/>
    <w:rsid w:val="008D79AB"/>
    <w:rsid w:val="008E0986"/>
    <w:rsid w:val="008E22B1"/>
    <w:rsid w:val="008E4981"/>
    <w:rsid w:val="008E65C4"/>
    <w:rsid w:val="008E756D"/>
    <w:rsid w:val="0090177D"/>
    <w:rsid w:val="00910668"/>
    <w:rsid w:val="009228E2"/>
    <w:rsid w:val="00943013"/>
    <w:rsid w:val="00944A9E"/>
    <w:rsid w:val="00944BA7"/>
    <w:rsid w:val="0094638C"/>
    <w:rsid w:val="00951388"/>
    <w:rsid w:val="00951F38"/>
    <w:rsid w:val="00970278"/>
    <w:rsid w:val="00972393"/>
    <w:rsid w:val="0097469C"/>
    <w:rsid w:val="009751D9"/>
    <w:rsid w:val="00980516"/>
    <w:rsid w:val="009953E8"/>
    <w:rsid w:val="009A6052"/>
    <w:rsid w:val="009B3D88"/>
    <w:rsid w:val="009B54C5"/>
    <w:rsid w:val="009D771E"/>
    <w:rsid w:val="009E5BD5"/>
    <w:rsid w:val="009F166A"/>
    <w:rsid w:val="00A1389D"/>
    <w:rsid w:val="00A23130"/>
    <w:rsid w:val="00A232D9"/>
    <w:rsid w:val="00A26C62"/>
    <w:rsid w:val="00A425EB"/>
    <w:rsid w:val="00A565D0"/>
    <w:rsid w:val="00A87FDF"/>
    <w:rsid w:val="00A9401D"/>
    <w:rsid w:val="00AC3CC0"/>
    <w:rsid w:val="00AD1C08"/>
    <w:rsid w:val="00AD552A"/>
    <w:rsid w:val="00AE085B"/>
    <w:rsid w:val="00AE6F1B"/>
    <w:rsid w:val="00AF5036"/>
    <w:rsid w:val="00B32055"/>
    <w:rsid w:val="00B709B0"/>
    <w:rsid w:val="00B70B67"/>
    <w:rsid w:val="00B9028A"/>
    <w:rsid w:val="00BA255C"/>
    <w:rsid w:val="00BD1BD5"/>
    <w:rsid w:val="00BD5B21"/>
    <w:rsid w:val="00BE1144"/>
    <w:rsid w:val="00BE2D65"/>
    <w:rsid w:val="00BF2550"/>
    <w:rsid w:val="00BF2BD9"/>
    <w:rsid w:val="00C012B7"/>
    <w:rsid w:val="00C23889"/>
    <w:rsid w:val="00C26C64"/>
    <w:rsid w:val="00C34115"/>
    <w:rsid w:val="00C4050F"/>
    <w:rsid w:val="00C41CDF"/>
    <w:rsid w:val="00C478D0"/>
    <w:rsid w:val="00C52101"/>
    <w:rsid w:val="00C66A7A"/>
    <w:rsid w:val="00C7550E"/>
    <w:rsid w:val="00C7569F"/>
    <w:rsid w:val="00C913BE"/>
    <w:rsid w:val="00CB0649"/>
    <w:rsid w:val="00CC6F42"/>
    <w:rsid w:val="00CD3253"/>
    <w:rsid w:val="00CF5EF7"/>
    <w:rsid w:val="00D031B3"/>
    <w:rsid w:val="00D2003C"/>
    <w:rsid w:val="00D235A2"/>
    <w:rsid w:val="00D35E03"/>
    <w:rsid w:val="00D37055"/>
    <w:rsid w:val="00D6215A"/>
    <w:rsid w:val="00D630F8"/>
    <w:rsid w:val="00D73452"/>
    <w:rsid w:val="00DA0861"/>
    <w:rsid w:val="00DA7932"/>
    <w:rsid w:val="00DA7B1F"/>
    <w:rsid w:val="00DB0068"/>
    <w:rsid w:val="00DC388B"/>
    <w:rsid w:val="00DC6E4E"/>
    <w:rsid w:val="00DD04BF"/>
    <w:rsid w:val="00DE753B"/>
    <w:rsid w:val="00E012E0"/>
    <w:rsid w:val="00E22E83"/>
    <w:rsid w:val="00E36AA1"/>
    <w:rsid w:val="00E570FF"/>
    <w:rsid w:val="00E652AC"/>
    <w:rsid w:val="00EC0BF9"/>
    <w:rsid w:val="00EC3128"/>
    <w:rsid w:val="00EC594B"/>
    <w:rsid w:val="00ED37A1"/>
    <w:rsid w:val="00EF25E7"/>
    <w:rsid w:val="00EF37E3"/>
    <w:rsid w:val="00F03E3C"/>
    <w:rsid w:val="00F579C6"/>
    <w:rsid w:val="00F657FA"/>
    <w:rsid w:val="00F74169"/>
    <w:rsid w:val="00F80D9C"/>
    <w:rsid w:val="00F93770"/>
    <w:rsid w:val="00FA61BE"/>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38552">
      <w:bodyDiv w:val="1"/>
      <w:marLeft w:val="0"/>
      <w:marRight w:val="0"/>
      <w:marTop w:val="0"/>
      <w:marBottom w:val="0"/>
      <w:divBdr>
        <w:top w:val="none" w:sz="0" w:space="0" w:color="auto"/>
        <w:left w:val="none" w:sz="0" w:space="0" w:color="auto"/>
        <w:bottom w:val="none" w:sz="0" w:space="0" w:color="auto"/>
        <w:right w:val="none" w:sz="0" w:space="0" w:color="auto"/>
      </w:divBdr>
    </w:div>
    <w:div w:id="443043651">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1989477270">
      <w:bodyDiv w:val="1"/>
      <w:marLeft w:val="0"/>
      <w:marRight w:val="0"/>
      <w:marTop w:val="0"/>
      <w:marBottom w:val="0"/>
      <w:divBdr>
        <w:top w:val="none" w:sz="0" w:space="0" w:color="auto"/>
        <w:left w:val="none" w:sz="0" w:space="0" w:color="auto"/>
        <w:bottom w:val="none" w:sz="0" w:space="0" w:color="auto"/>
        <w:right w:val="none" w:sz="0" w:space="0" w:color="auto"/>
      </w:divBdr>
    </w:div>
    <w:div w:id="20672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3254</Words>
  <Characters>17903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2017-05-29T20:14:00Z</dcterms:created>
  <dcterms:modified xsi:type="dcterms:W3CDTF">2017-05-29T20:14:00Z</dcterms:modified>
</cp:coreProperties>
</file>